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83B" w:rsidRDefault="007715DF">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3928110</wp:posOffset>
            </wp:positionH>
            <wp:positionV relativeFrom="paragraph">
              <wp:posOffset>0</wp:posOffset>
            </wp:positionV>
            <wp:extent cx="655320" cy="1371600"/>
            <wp:effectExtent l="25400" t="0" r="508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655320" cy="1371600"/>
                    </a:xfrm>
                    <a:prstGeom prst="rect">
                      <a:avLst/>
                    </a:prstGeom>
                    <a:noFill/>
                    <a:ln w="9525">
                      <a:noFill/>
                      <a:miter lim="800000"/>
                      <a:headEnd/>
                      <a:tailEnd/>
                    </a:ln>
                  </pic:spPr>
                </pic:pic>
              </a:graphicData>
            </a:graphic>
          </wp:anchor>
        </w:drawing>
      </w:r>
      <w:r w:rsidRPr="0041383B">
        <w:rPr>
          <w:rFonts w:ascii="Times New Roman" w:hAnsi="Times New Roman"/>
          <w:noProof/>
        </w:rPr>
        <w:drawing>
          <wp:inline distT="0" distB="0" distL="0" distR="0">
            <wp:extent cx="3483336" cy="137160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94490" cy="1375992"/>
                    </a:xfrm>
                    <a:prstGeom prst="rect">
                      <a:avLst/>
                    </a:prstGeom>
                    <a:noFill/>
                    <a:ln w="9525">
                      <a:noFill/>
                      <a:miter lim="800000"/>
                      <a:headEnd/>
                      <a:tailEnd/>
                    </a:ln>
                  </pic:spPr>
                </pic:pic>
              </a:graphicData>
            </a:graphic>
          </wp:inline>
        </w:drawing>
      </w:r>
    </w:p>
    <w:p w:rsidR="0041383B" w:rsidRDefault="007715DF" w:rsidP="0041383B">
      <w:pPr>
        <w:rPr>
          <w:rFonts w:ascii="Times New Roman" w:hAnsi="Times New Roman"/>
        </w:rPr>
      </w:pPr>
      <w:r>
        <w:rPr>
          <w:rFonts w:ascii="Times New Roman" w:hAnsi="Times New Roman"/>
        </w:rPr>
        <w:t>Norwegian</w:t>
      </w:r>
      <w:r>
        <w:rPr>
          <w:rFonts w:ascii="Times New Roman" w:hAnsi="Times New Roman"/>
        </w:rPr>
        <w:t xml:space="preserve"> Salt Spoons</w:t>
      </w:r>
      <w:r>
        <w:rPr>
          <w:rFonts w:ascii="Times New Roman" w:hAnsi="Times New Roman"/>
        </w:rPr>
        <w:t xml:space="preserve"> c.</w:t>
      </w:r>
      <w:r>
        <w:rPr>
          <w:rFonts w:ascii="Times New Roman" w:hAnsi="Times New Roman"/>
        </w:rPr>
        <w:t>1920 (approx.)</w:t>
      </w:r>
      <w:r w:rsidRPr="00545644">
        <w:t xml:space="preserve"> </w:t>
      </w:r>
    </w:p>
    <w:p w:rsidR="0041383B" w:rsidRDefault="007715DF" w:rsidP="0041383B">
      <w:pPr>
        <w:rPr>
          <w:rFonts w:ascii="Times New Roman" w:hAnsi="Times New Roman"/>
        </w:rPr>
      </w:pPr>
      <w:r>
        <w:rPr>
          <w:rFonts w:ascii="Times New Roman" w:hAnsi="Times New Roman"/>
        </w:rPr>
        <w:t>Sterling Silver with colored enamel inlay decoration</w:t>
      </w:r>
    </w:p>
    <w:p w:rsidR="0041383B" w:rsidRDefault="007715DF" w:rsidP="0041383B">
      <w:pPr>
        <w:rPr>
          <w:rFonts w:ascii="Times New Roman" w:hAnsi="Times New Roman"/>
        </w:rPr>
      </w:pPr>
      <w:r>
        <w:rPr>
          <w:rFonts w:ascii="Times New Roman" w:hAnsi="Times New Roman"/>
        </w:rPr>
        <w:t>Unidentified maker</w:t>
      </w:r>
    </w:p>
    <w:p w:rsidR="00D049ED" w:rsidRDefault="007715DF" w:rsidP="0041383B">
      <w:pPr>
        <w:rPr>
          <w:rFonts w:ascii="Times New Roman" w:hAnsi="Times New Roman"/>
        </w:rPr>
      </w:pPr>
      <w:r>
        <w:rPr>
          <w:rFonts w:ascii="Times New Roman" w:hAnsi="Times New Roman"/>
        </w:rPr>
        <w:t>According to various etiquette books written from the 1920s-60s, salt spoons were most commonly reserved for use at both formal and informal dinner parties. Partygoers would either share a set of salt and pepper dispensers with their closest neighbor or ea</w:t>
      </w:r>
      <w:r>
        <w:rPr>
          <w:rFonts w:ascii="Times New Roman" w:hAnsi="Times New Roman"/>
        </w:rPr>
        <w:t xml:space="preserve">ch had a separate spoon to use </w:t>
      </w:r>
      <w:r>
        <w:rPr>
          <w:rFonts w:ascii="Times New Roman" w:hAnsi="Times New Roman"/>
        </w:rPr>
        <w:t>to take</w:t>
      </w:r>
      <w:r>
        <w:rPr>
          <w:rFonts w:ascii="Times New Roman" w:hAnsi="Times New Roman"/>
        </w:rPr>
        <w:t xml:space="preserve"> salt from a communal dish. In her </w:t>
      </w:r>
      <w:r>
        <w:rPr>
          <w:rFonts w:ascii="Times New Roman" w:hAnsi="Times New Roman"/>
          <w:i/>
        </w:rPr>
        <w:t>Complete Book of Etiquette</w:t>
      </w:r>
      <w:r>
        <w:rPr>
          <w:rFonts w:ascii="Times New Roman" w:hAnsi="Times New Roman"/>
        </w:rPr>
        <w:t>, Amy Vanderbilt stated, “open salts and peppers require little sterling, ivory, or mother of pearl spoons” (349). The set of salt spoons in the museum colle</w:t>
      </w:r>
      <w:r>
        <w:rPr>
          <w:rFonts w:ascii="Times New Roman" w:hAnsi="Times New Roman"/>
        </w:rPr>
        <w:t xml:space="preserve">ction are made of sterling silver as recognized by the “925” printed on the right side </w:t>
      </w:r>
      <w:r>
        <w:rPr>
          <w:rFonts w:ascii="Times New Roman" w:hAnsi="Times New Roman"/>
        </w:rPr>
        <w:t>handle on the front</w:t>
      </w:r>
      <w:r>
        <w:rPr>
          <w:rFonts w:ascii="Times New Roman" w:hAnsi="Times New Roman"/>
        </w:rPr>
        <w:t xml:space="preserve"> of the spoon. Historically, the “925” mark was used by </w:t>
      </w:r>
      <w:r>
        <w:rPr>
          <w:rFonts w:ascii="Times New Roman" w:hAnsi="Times New Roman"/>
        </w:rPr>
        <w:t>English</w:t>
      </w:r>
      <w:r>
        <w:rPr>
          <w:rFonts w:ascii="Times New Roman" w:hAnsi="Times New Roman"/>
        </w:rPr>
        <w:t xml:space="preserve"> silver makers</w:t>
      </w:r>
      <w:r>
        <w:rPr>
          <w:rFonts w:ascii="Times New Roman" w:hAnsi="Times New Roman"/>
        </w:rPr>
        <w:t xml:space="preserve"> to delineate </w:t>
      </w:r>
      <w:r>
        <w:rPr>
          <w:rFonts w:ascii="Times New Roman" w:hAnsi="Times New Roman"/>
        </w:rPr>
        <w:t>their use of 92.5% silver,</w:t>
      </w:r>
      <w:r>
        <w:rPr>
          <w:rFonts w:ascii="Times New Roman" w:hAnsi="Times New Roman"/>
        </w:rPr>
        <w:t xml:space="preserve"> but starting in 1920, Norwegian </w:t>
      </w:r>
      <w:r>
        <w:rPr>
          <w:rFonts w:ascii="Times New Roman" w:hAnsi="Times New Roman"/>
        </w:rPr>
        <w:t xml:space="preserve">silver makers began using </w:t>
      </w:r>
      <w:r>
        <w:rPr>
          <w:rFonts w:ascii="Times New Roman" w:hAnsi="Times New Roman"/>
        </w:rPr>
        <w:t>92.5%</w:t>
      </w:r>
      <w:r>
        <w:rPr>
          <w:rFonts w:ascii="Times New Roman" w:hAnsi="Times New Roman"/>
        </w:rPr>
        <w:t xml:space="preserve"> as well as continuing their use of </w:t>
      </w:r>
      <w:r>
        <w:rPr>
          <w:rFonts w:ascii="Times New Roman" w:hAnsi="Times New Roman"/>
        </w:rPr>
        <w:t>83%</w:t>
      </w:r>
      <w:r>
        <w:rPr>
          <w:rFonts w:ascii="Times New Roman" w:hAnsi="Times New Roman"/>
        </w:rPr>
        <w:t xml:space="preserve"> silver. </w:t>
      </w:r>
      <w:r>
        <w:rPr>
          <w:rFonts w:ascii="Times New Roman" w:hAnsi="Times New Roman"/>
        </w:rPr>
        <w:t xml:space="preserve">Printed on the left side of the handle is the maker’s mark, which is still in the process of being identified. </w:t>
      </w:r>
      <w:r>
        <w:rPr>
          <w:rFonts w:ascii="Times New Roman" w:hAnsi="Times New Roman"/>
        </w:rPr>
        <w:t>The enameled inlaid designs on the front and back of the handle an</w:t>
      </w:r>
      <w:r>
        <w:rPr>
          <w:rFonts w:ascii="Times New Roman" w:hAnsi="Times New Roman"/>
        </w:rPr>
        <w:t xml:space="preserve">d on the back of the bowl are what distinguished the spoons as Norwegian in style. Also, the shape of the bowl is unique as most salt spoon bowls are typically shell or shovel shaped and not </w:t>
      </w:r>
      <w:r>
        <w:rPr>
          <w:rFonts w:ascii="Times New Roman" w:hAnsi="Times New Roman"/>
        </w:rPr>
        <w:t>leaf</w:t>
      </w:r>
      <w:r>
        <w:rPr>
          <w:rFonts w:ascii="Times New Roman" w:hAnsi="Times New Roman"/>
        </w:rPr>
        <w:t xml:space="preserve"> </w:t>
      </w:r>
      <w:r>
        <w:rPr>
          <w:rFonts w:ascii="Times New Roman" w:hAnsi="Times New Roman"/>
        </w:rPr>
        <w:t xml:space="preserve">shaped. </w:t>
      </w:r>
      <w:r>
        <w:rPr>
          <w:rFonts w:ascii="Times New Roman" w:hAnsi="Times New Roman"/>
        </w:rPr>
        <w:t xml:space="preserve">Note the </w:t>
      </w:r>
      <w:proofErr w:type="spellStart"/>
      <w:r>
        <w:rPr>
          <w:rFonts w:ascii="Times New Roman" w:hAnsi="Times New Roman"/>
        </w:rPr>
        <w:t>discol</w:t>
      </w:r>
      <w:proofErr w:type="spellEnd"/>
      <w:r w:rsidRPr="007A522F">
        <w:t xml:space="preserve"> </w:t>
      </w:r>
      <w:r>
        <w:rPr>
          <w:rFonts w:ascii="Times New Roman" w:hAnsi="Times New Roman"/>
        </w:rPr>
        <w:t>orations on the bowls from salt resi</w:t>
      </w:r>
      <w:r>
        <w:rPr>
          <w:rFonts w:ascii="Times New Roman" w:hAnsi="Times New Roman"/>
        </w:rPr>
        <w:t xml:space="preserve">due and the three pieces of missing enamel </w:t>
      </w:r>
      <w:r>
        <w:rPr>
          <w:rFonts w:ascii="Times New Roman" w:hAnsi="Times New Roman"/>
        </w:rPr>
        <w:t>inlay</w:t>
      </w:r>
      <w:r>
        <w:rPr>
          <w:rFonts w:ascii="Times New Roman" w:hAnsi="Times New Roman"/>
        </w:rPr>
        <w:t xml:space="preserve"> on the back of the </w:t>
      </w:r>
      <w:r>
        <w:rPr>
          <w:rFonts w:ascii="Times New Roman" w:hAnsi="Times New Roman"/>
        </w:rPr>
        <w:t xml:space="preserve">lighter </w:t>
      </w:r>
      <w:r>
        <w:rPr>
          <w:rFonts w:ascii="Times New Roman" w:hAnsi="Times New Roman"/>
        </w:rPr>
        <w:t xml:space="preserve">green spoon. </w:t>
      </w:r>
    </w:p>
    <w:p w:rsidR="00F108FD" w:rsidRDefault="007715DF" w:rsidP="0041383B">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105410</wp:posOffset>
            </wp:positionV>
            <wp:extent cx="2057400" cy="1543050"/>
            <wp:effectExtent l="2540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057400" cy="1543050"/>
                    </a:xfrm>
                    <a:prstGeom prst="rect">
                      <a:avLst/>
                    </a:prstGeom>
                    <a:noFill/>
                    <a:ln w="9525">
                      <a:noFill/>
                      <a:miter lim="800000"/>
                      <a:headEnd/>
                      <a:tailEnd/>
                    </a:ln>
                  </pic:spPr>
                </pic:pic>
              </a:graphicData>
            </a:graphic>
          </wp:anchor>
        </w:drawing>
      </w:r>
    </w:p>
    <w:p w:rsidR="00F108FD" w:rsidRDefault="007715DF" w:rsidP="0041383B">
      <w:pPr>
        <w:rPr>
          <w:rFonts w:ascii="Times New Roman" w:hAnsi="Times New Roman"/>
        </w:rPr>
      </w:pPr>
    </w:p>
    <w:p w:rsidR="00F108FD" w:rsidRDefault="007715DF" w:rsidP="0041383B">
      <w:pPr>
        <w:rPr>
          <w:rFonts w:ascii="Times New Roman" w:hAnsi="Times New Roman"/>
        </w:rPr>
      </w:pPr>
    </w:p>
    <w:p w:rsidR="00297B04" w:rsidRDefault="007715DF" w:rsidP="0041383B">
      <w:pPr>
        <w:rPr>
          <w:rFonts w:ascii="Times New Roman" w:hAnsi="Times New Roman"/>
        </w:rPr>
      </w:pPr>
      <w:r>
        <w:rPr>
          <w:rFonts w:ascii="Times New Roman" w:hAnsi="Times New Roman"/>
        </w:rPr>
        <w:t>Salt Serving set</w:t>
      </w:r>
    </w:p>
    <w:p w:rsidR="005008EE" w:rsidRDefault="007715DF" w:rsidP="0041383B">
      <w:pPr>
        <w:rPr>
          <w:rFonts w:ascii="Times New Roman" w:hAnsi="Times New Roman"/>
        </w:rPr>
      </w:pPr>
      <w:r>
        <w:rPr>
          <w:rFonts w:ascii="Times New Roman" w:hAnsi="Times New Roman"/>
        </w:rPr>
        <w:t>Lead Glass with cut decoration</w:t>
      </w:r>
    </w:p>
    <w:p w:rsidR="00297B04" w:rsidRDefault="007715DF" w:rsidP="0041383B">
      <w:pPr>
        <w:rPr>
          <w:rFonts w:ascii="Times New Roman" w:hAnsi="Times New Roman"/>
        </w:rPr>
      </w:pPr>
      <w:r>
        <w:rPr>
          <w:rFonts w:ascii="Times New Roman" w:hAnsi="Times New Roman"/>
        </w:rPr>
        <w:t>Unidentified maker</w:t>
      </w:r>
    </w:p>
    <w:p w:rsidR="0041383B" w:rsidRPr="00455402" w:rsidRDefault="007715DF" w:rsidP="0041383B">
      <w:pPr>
        <w:rPr>
          <w:rFonts w:ascii="Times New Roman" w:hAnsi="Times New Roman"/>
        </w:rPr>
      </w:pPr>
      <w:r>
        <w:rPr>
          <w:rFonts w:ascii="Times New Roman" w:hAnsi="Times New Roman"/>
        </w:rPr>
        <w:t xml:space="preserve">Another salt serving set of both spoons and cellars in the museum’s collection, </w:t>
      </w:r>
      <w:r>
        <w:rPr>
          <w:rFonts w:ascii="Times New Roman" w:hAnsi="Times New Roman"/>
        </w:rPr>
        <w:t xml:space="preserve">is </w:t>
      </w:r>
      <w:r>
        <w:rPr>
          <w:rFonts w:ascii="Times New Roman" w:hAnsi="Times New Roman"/>
        </w:rPr>
        <w:t xml:space="preserve">made out of colorless </w:t>
      </w:r>
      <w:r>
        <w:rPr>
          <w:rFonts w:ascii="Times New Roman" w:hAnsi="Times New Roman"/>
        </w:rPr>
        <w:t xml:space="preserve">lead </w:t>
      </w:r>
      <w:r>
        <w:rPr>
          <w:rFonts w:ascii="Times New Roman" w:hAnsi="Times New Roman"/>
        </w:rPr>
        <w:t>glass</w:t>
      </w:r>
      <w:r>
        <w:rPr>
          <w:rFonts w:ascii="Times New Roman" w:hAnsi="Times New Roman"/>
        </w:rPr>
        <w:t>. The spoons have</w:t>
      </w:r>
      <w:r>
        <w:rPr>
          <w:rFonts w:ascii="Times New Roman" w:hAnsi="Times New Roman"/>
        </w:rPr>
        <w:t xml:space="preserve"> shovel shaped bowls with little to no surface decoration. </w:t>
      </w:r>
      <w:r>
        <w:rPr>
          <w:rFonts w:ascii="Times New Roman" w:hAnsi="Times New Roman"/>
        </w:rPr>
        <w:t xml:space="preserve">The </w:t>
      </w:r>
      <w:proofErr w:type="gramStart"/>
      <w:r>
        <w:rPr>
          <w:rFonts w:ascii="Times New Roman" w:hAnsi="Times New Roman"/>
        </w:rPr>
        <w:t>salt cellar</w:t>
      </w:r>
      <w:proofErr w:type="gramEnd"/>
      <w:r>
        <w:rPr>
          <w:rFonts w:ascii="Times New Roman" w:hAnsi="Times New Roman"/>
        </w:rPr>
        <w:t xml:space="preserve"> </w:t>
      </w:r>
      <w:r>
        <w:rPr>
          <w:rFonts w:ascii="Times New Roman" w:hAnsi="Times New Roman"/>
        </w:rPr>
        <w:t>has diamond shaped geometric patterns</w:t>
      </w:r>
      <w:r>
        <w:rPr>
          <w:rFonts w:ascii="Times New Roman" w:hAnsi="Times New Roman"/>
        </w:rPr>
        <w:t xml:space="preserve"> cut</w:t>
      </w:r>
      <w:r>
        <w:rPr>
          <w:rFonts w:ascii="Times New Roman" w:hAnsi="Times New Roman"/>
        </w:rPr>
        <w:t xml:space="preserve"> around the bowl </w:t>
      </w:r>
      <w:r>
        <w:rPr>
          <w:rFonts w:ascii="Times New Roman" w:hAnsi="Times New Roman"/>
        </w:rPr>
        <w:t>as well</w:t>
      </w:r>
      <w:r w:rsidRPr="00F108FD">
        <w:t xml:space="preserve"> </w:t>
      </w:r>
      <w:r>
        <w:rPr>
          <w:rFonts w:ascii="Times New Roman" w:hAnsi="Times New Roman"/>
        </w:rPr>
        <w:t xml:space="preserve">as </w:t>
      </w:r>
      <w:r>
        <w:rPr>
          <w:rFonts w:ascii="Times New Roman" w:hAnsi="Times New Roman"/>
        </w:rPr>
        <w:t>a four pointed star</w:t>
      </w:r>
      <w:r>
        <w:rPr>
          <w:rFonts w:ascii="Times New Roman" w:hAnsi="Times New Roman"/>
        </w:rPr>
        <w:t xml:space="preserve"> design </w:t>
      </w:r>
      <w:r>
        <w:rPr>
          <w:rFonts w:ascii="Times New Roman" w:hAnsi="Times New Roman"/>
        </w:rPr>
        <w:t xml:space="preserve">cut </w:t>
      </w:r>
      <w:r>
        <w:rPr>
          <w:rFonts w:ascii="Times New Roman" w:hAnsi="Times New Roman"/>
        </w:rPr>
        <w:t xml:space="preserve">on the bottom. </w:t>
      </w:r>
    </w:p>
    <w:p w:rsidR="007715DF" w:rsidRDefault="007715DF">
      <w:pPr>
        <w:rPr>
          <w:rFonts w:ascii="Times New Roman" w:hAnsi="Times New Roman"/>
        </w:rPr>
      </w:pPr>
    </w:p>
    <w:p w:rsidR="007715DF" w:rsidRDefault="007715DF">
      <w:pPr>
        <w:rPr>
          <w:rFonts w:ascii="Times New Roman" w:hAnsi="Times New Roman"/>
        </w:rPr>
      </w:pPr>
    </w:p>
    <w:p w:rsidR="007715DF" w:rsidRDefault="007715DF">
      <w:pPr>
        <w:rPr>
          <w:rFonts w:ascii="Times New Roman" w:hAnsi="Times New Roman"/>
        </w:rPr>
      </w:pPr>
    </w:p>
    <w:p w:rsidR="007715DF" w:rsidRDefault="007715DF" w:rsidP="007715DF">
      <w:pPr>
        <w:spacing w:line="480" w:lineRule="auto"/>
      </w:pPr>
      <w:r>
        <w:t>Stiegel Pocket Bottle</w:t>
      </w:r>
    </w:p>
    <w:p w:rsidR="007715DF" w:rsidRDefault="007715DF" w:rsidP="007715DF">
      <w:pPr>
        <w:spacing w:line="480" w:lineRule="auto"/>
      </w:pPr>
      <w:bookmarkStart w:id="0" w:name="_GoBack"/>
      <w:bookmarkEnd w:id="0"/>
      <w:r>
        <w:tab/>
        <w:t>This piece of glassware is an amethyst colored pocket bottle dating to the late eighteenth or early nineteenth century. The combination of the bottle’s deep purple color, its rounded shape, and its Diamond-Daisy pattern were characteristics typical of bottles manufactured in Pennsylvania during this time.</w:t>
      </w:r>
      <w:r>
        <w:rPr>
          <w:rStyle w:val="FootnoteReference"/>
        </w:rPr>
        <w:footnoteReference w:id="-1"/>
      </w:r>
      <w:r>
        <w:t xml:space="preserve"> Although it is difficult to associate this bottle with a particular maker, amethyst pocket bottles containing this diamond pattern were often attributed to Henry William Stiegel, who operated a glassblowing company in Manheim, Pennsylvania from 1764 to 1775. </w:t>
      </w:r>
    </w:p>
    <w:p w:rsidR="00FC27D3" w:rsidRPr="007715DF" w:rsidRDefault="007715DF" w:rsidP="007715DF">
      <w:pPr>
        <w:spacing w:line="480" w:lineRule="auto"/>
      </w:pPr>
      <w:r>
        <w:tab/>
        <w:t>During its manufacture, the glass was blown into a partial-sized mold that imprinted the Diamond-Daisy pattern on the exterior of the bottle.</w:t>
      </w:r>
      <w:r>
        <w:rPr>
          <w:rStyle w:val="FootnoteReference"/>
        </w:rPr>
        <w:footnoteReference w:id="0"/>
      </w:r>
      <w:r>
        <w:t xml:space="preserve"> Afterwards, the glass underwent additional blowing and shaping to create the bottle’s final form, a process that slightly distorted the molded design. Bottles of a similar shape and design were typically intended to hold medicinal or alcoholic liquids, and their small size allowed individuals to easily transport the liquids in small quantities.</w:t>
      </w:r>
      <w:r>
        <w:rPr>
          <w:rStyle w:val="FootnoteReference"/>
        </w:rPr>
        <w:footnoteReference w:id="1"/>
      </w:r>
      <w:r>
        <w:t xml:space="preserve"> Within the broader context of eighteenth century bottles, this piece certainly stands out for its visually appealing color and design.</w:t>
      </w:r>
    </w:p>
    <w:sectPr w:rsidR="00FC27D3" w:rsidRPr="007715DF" w:rsidSect="00FC27D3">
      <w:head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7715DF" w:rsidRDefault="007715DF" w:rsidP="007715DF">
      <w:pPr>
        <w:pStyle w:val="FootnoteText"/>
      </w:pPr>
      <w:r>
        <w:rPr>
          <w:rStyle w:val="FootnoteReference"/>
        </w:rPr>
        <w:footnoteRef/>
      </w:r>
      <w:r>
        <w:t xml:space="preserve"> </w:t>
      </w:r>
      <w:proofErr w:type="gramStart"/>
      <w:r>
        <w:t xml:space="preserve">Krill, Rosemary </w:t>
      </w:r>
      <w:r w:rsidRPr="001B4FBA">
        <w:t>Troy</w:t>
      </w:r>
      <w:r w:rsidRPr="00FB72A2">
        <w:rPr>
          <w:i/>
        </w:rPr>
        <w:t>.</w:t>
      </w:r>
      <w:proofErr w:type="gramEnd"/>
      <w:r w:rsidRPr="00FB72A2">
        <w:rPr>
          <w:i/>
        </w:rPr>
        <w:t xml:space="preserve"> Early American Decorative Arts: 1620-1860: A Handbook for Interpreters. </w:t>
      </w:r>
      <w:proofErr w:type="spellStart"/>
      <w:proofErr w:type="gramStart"/>
      <w:r>
        <w:t>AltaMira</w:t>
      </w:r>
      <w:proofErr w:type="spellEnd"/>
      <w:r>
        <w:t xml:space="preserve"> Press, 2001.</w:t>
      </w:r>
      <w:proofErr w:type="gramEnd"/>
      <w:r>
        <w:t xml:space="preserve"> Pp. 145.</w:t>
      </w:r>
    </w:p>
  </w:footnote>
  <w:footnote w:id="0">
    <w:p w:rsidR="007715DF" w:rsidRDefault="007715DF" w:rsidP="007715DF">
      <w:pPr>
        <w:pStyle w:val="FootnoteText"/>
      </w:pPr>
      <w:r>
        <w:rPr>
          <w:rStyle w:val="FootnoteReference"/>
        </w:rPr>
        <w:footnoteRef/>
      </w:r>
      <w:r>
        <w:t xml:space="preserve"> </w:t>
      </w:r>
      <w:proofErr w:type="gramStart"/>
      <w:r>
        <w:t xml:space="preserve">Krill, Rosemary </w:t>
      </w:r>
      <w:r w:rsidRPr="001B4FBA">
        <w:t>Troy</w:t>
      </w:r>
      <w:r w:rsidRPr="00FB72A2">
        <w:rPr>
          <w:i/>
        </w:rPr>
        <w:t>.</w:t>
      </w:r>
      <w:proofErr w:type="gramEnd"/>
      <w:r w:rsidRPr="00FB72A2">
        <w:rPr>
          <w:i/>
        </w:rPr>
        <w:t xml:space="preserve"> Early American Decorative Arts: 1620-1860: A Handbook for Interpreters. </w:t>
      </w:r>
      <w:proofErr w:type="spellStart"/>
      <w:proofErr w:type="gramStart"/>
      <w:r>
        <w:t>AltaMira</w:t>
      </w:r>
      <w:proofErr w:type="spellEnd"/>
      <w:r>
        <w:t xml:space="preserve"> Press, 2001.</w:t>
      </w:r>
      <w:proofErr w:type="gramEnd"/>
      <w:r>
        <w:t xml:space="preserve"> Pp. 150.</w:t>
      </w:r>
    </w:p>
  </w:footnote>
  <w:footnote w:id="1">
    <w:p w:rsidR="007715DF" w:rsidRDefault="007715DF" w:rsidP="007715DF">
      <w:pPr>
        <w:pStyle w:val="FootnoteText"/>
      </w:pPr>
      <w:r>
        <w:rPr>
          <w:rStyle w:val="FootnoteReference"/>
        </w:rPr>
        <w:footnoteRef/>
      </w:r>
      <w:r>
        <w:t xml:space="preserve"> Van Rensselaer, Stephen. </w:t>
      </w:r>
      <w:r>
        <w:rPr>
          <w:i/>
        </w:rPr>
        <w:t xml:space="preserve">Early American Bottles and Flasks. </w:t>
      </w:r>
      <w:r>
        <w:t>Peterborough: Transcript Printing Company, 1926. Pp. 49.</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22F" w:rsidRDefault="007715DF">
    <w:pPr>
      <w:pStyle w:val="Header"/>
    </w:pPr>
    <w:r>
      <w:tab/>
    </w: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F0681"/>
    <w:rsid w:val="001F0681"/>
    <w:rsid w:val="007715DF"/>
    <w:rsid w:val="00E73FA9"/>
    <w:rsid w:val="00FE095E"/>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0F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22B68"/>
    <w:pPr>
      <w:tabs>
        <w:tab w:val="center" w:pos="4320"/>
        <w:tab w:val="right" w:pos="8640"/>
      </w:tabs>
      <w:spacing w:after="0"/>
    </w:pPr>
  </w:style>
  <w:style w:type="character" w:customStyle="1" w:styleId="HeaderChar">
    <w:name w:val="Header Char"/>
    <w:basedOn w:val="DefaultParagraphFont"/>
    <w:link w:val="Header"/>
    <w:uiPriority w:val="99"/>
    <w:semiHidden/>
    <w:rsid w:val="00722B68"/>
  </w:style>
  <w:style w:type="paragraph" w:styleId="Footer">
    <w:name w:val="footer"/>
    <w:basedOn w:val="Normal"/>
    <w:link w:val="FooterChar"/>
    <w:uiPriority w:val="99"/>
    <w:semiHidden/>
    <w:unhideWhenUsed/>
    <w:rsid w:val="00722B68"/>
    <w:pPr>
      <w:tabs>
        <w:tab w:val="center" w:pos="4320"/>
        <w:tab w:val="right" w:pos="8640"/>
      </w:tabs>
      <w:spacing w:after="0"/>
    </w:pPr>
  </w:style>
  <w:style w:type="character" w:customStyle="1" w:styleId="FooterChar">
    <w:name w:val="Footer Char"/>
    <w:basedOn w:val="DefaultParagraphFont"/>
    <w:link w:val="Footer"/>
    <w:uiPriority w:val="99"/>
    <w:semiHidden/>
    <w:rsid w:val="00722B68"/>
  </w:style>
  <w:style w:type="paragraph" w:styleId="FootnoteText">
    <w:name w:val="footnote text"/>
    <w:basedOn w:val="Normal"/>
    <w:link w:val="FootnoteTextChar"/>
    <w:uiPriority w:val="99"/>
    <w:unhideWhenUsed/>
    <w:rsid w:val="007715DF"/>
    <w:pPr>
      <w:spacing w:after="0"/>
    </w:pPr>
    <w:rPr>
      <w:rFonts w:eastAsia="ＭＳ 明朝"/>
      <w:lang w:eastAsia="ja-JP"/>
    </w:rPr>
  </w:style>
  <w:style w:type="character" w:customStyle="1" w:styleId="FootnoteTextChar">
    <w:name w:val="Footnote Text Char"/>
    <w:basedOn w:val="DefaultParagraphFont"/>
    <w:link w:val="FootnoteText"/>
    <w:uiPriority w:val="99"/>
    <w:rsid w:val="007715DF"/>
    <w:rPr>
      <w:rFonts w:eastAsia="ＭＳ 明朝"/>
      <w:lang w:eastAsia="ja-JP"/>
    </w:rPr>
  </w:style>
  <w:style w:type="character" w:styleId="FootnoteReference">
    <w:name w:val="footnote reference"/>
    <w:basedOn w:val="DefaultParagraphFont"/>
    <w:uiPriority w:val="99"/>
    <w:semiHidden/>
    <w:unhideWhenUsed/>
    <w:rsid w:val="007715DF"/>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otnotes" Target="foot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2556</Characters>
  <Application>Microsoft Macintosh Word</Application>
  <DocSecurity>0</DocSecurity>
  <Lines>21</Lines>
  <Paragraphs>5</Paragraphs>
  <ScaleCrop>false</ScaleCrop>
  <Company>Franklin and Marshall College</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Sobel</dc:creator>
  <cp:keywords/>
  <cp:lastModifiedBy>Eliza Reilly</cp:lastModifiedBy>
  <cp:revision>2</cp:revision>
  <dcterms:created xsi:type="dcterms:W3CDTF">2012-09-18T20:02:00Z</dcterms:created>
  <dcterms:modified xsi:type="dcterms:W3CDTF">2012-09-18T20:02:00Z</dcterms:modified>
</cp:coreProperties>
</file>